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52" w:rsidRDefault="00796752">
      <w:pPr>
        <w:rPr>
          <w:lang w:val="kk-KZ"/>
        </w:rPr>
      </w:pPr>
      <w:bookmarkStart w:id="0" w:name="_GoBack"/>
      <w:bookmarkEnd w:id="0"/>
    </w:p>
    <w:p w:rsidR="00F82A4D" w:rsidRDefault="0041605A" w:rsidP="0041605A">
      <w:pPr>
        <w:contextualSpacing/>
        <w:jc w:val="both"/>
        <w:rPr>
          <w:b/>
          <w:bCs/>
          <w:noProof/>
          <w:color w:val="000000"/>
          <w:sz w:val="28"/>
          <w:szCs w:val="28"/>
          <w:lang w:val="kk-KZ"/>
        </w:rPr>
      </w:pPr>
      <w:r w:rsidRPr="00F82A4D">
        <w:rPr>
          <w:b/>
          <w:bCs/>
          <w:noProof/>
          <w:color w:val="000000"/>
          <w:spacing w:val="-1"/>
          <w:sz w:val="28"/>
          <w:szCs w:val="28"/>
          <w:lang w:val="kk-KZ"/>
        </w:rPr>
        <w:t xml:space="preserve">Л.Н.Гумилев атындағы Еуразия ұлтттық университеті Журналистика және саясаттану факультеті </w:t>
      </w:r>
      <w:r w:rsidRPr="00F82A4D">
        <w:rPr>
          <w:b/>
          <w:sz w:val="28"/>
          <w:szCs w:val="28"/>
          <w:lang w:val="kk-KZ"/>
        </w:rPr>
        <w:t>«Баспасөз және баспа ісі» кафедрасының доценті, филология ғылымдарының кандидаты</w:t>
      </w:r>
      <w:r w:rsidR="00F82A4D" w:rsidRPr="00F82A4D">
        <w:rPr>
          <w:b/>
          <w:sz w:val="28"/>
          <w:szCs w:val="28"/>
          <w:lang w:val="kk-KZ"/>
        </w:rPr>
        <w:t>,ХАА толық мүшесі</w:t>
      </w:r>
      <w:r w:rsidRPr="00F82A4D">
        <w:rPr>
          <w:b/>
          <w:sz w:val="28"/>
          <w:szCs w:val="28"/>
          <w:lang w:val="kk-KZ"/>
        </w:rPr>
        <w:t xml:space="preserve"> Тоқтағазин Мұратбек Балқыбекұлының</w:t>
      </w:r>
      <w:r w:rsidRPr="00F82A4D">
        <w:rPr>
          <w:b/>
          <w:bCs/>
          <w:noProof/>
          <w:color w:val="000000"/>
          <w:sz w:val="28"/>
          <w:szCs w:val="28"/>
          <w:lang w:val="kk-KZ"/>
        </w:rPr>
        <w:t xml:space="preserve"> 2009-2015 жылдары жарияланған ғылыми және ғылыми-әдістемелік еңбектерінің</w:t>
      </w:r>
      <w:r w:rsidR="00F82A4D" w:rsidRPr="00F82A4D">
        <w:rPr>
          <w:b/>
          <w:bCs/>
          <w:noProof/>
          <w:color w:val="000000"/>
          <w:sz w:val="28"/>
          <w:szCs w:val="28"/>
          <w:lang w:val="kk-KZ"/>
        </w:rPr>
        <w:t>,оқу құралдарының</w:t>
      </w:r>
      <w:r w:rsidR="00F82A4D">
        <w:rPr>
          <w:b/>
          <w:bCs/>
          <w:noProof/>
          <w:color w:val="000000"/>
          <w:sz w:val="28"/>
          <w:szCs w:val="28"/>
          <w:lang w:val="kk-KZ"/>
        </w:rPr>
        <w:t xml:space="preserve"> </w:t>
      </w:r>
    </w:p>
    <w:p w:rsidR="0041605A" w:rsidRPr="00F82A4D" w:rsidRDefault="00F82A4D" w:rsidP="00F82A4D">
      <w:pPr>
        <w:contextualSpacing/>
        <w:jc w:val="center"/>
        <w:rPr>
          <w:b/>
          <w:bCs/>
          <w:noProof/>
          <w:color w:val="000000"/>
          <w:sz w:val="32"/>
          <w:szCs w:val="32"/>
          <w:lang w:val="kk-KZ"/>
        </w:rPr>
      </w:pPr>
      <w:r w:rsidRPr="00F82A4D">
        <w:rPr>
          <w:b/>
          <w:bCs/>
          <w:noProof/>
          <w:color w:val="000000"/>
          <w:sz w:val="32"/>
          <w:szCs w:val="32"/>
          <w:lang w:val="kk-KZ"/>
        </w:rPr>
        <w:t>ТІЗІМІ</w:t>
      </w:r>
    </w:p>
    <w:p w:rsidR="0041605A" w:rsidRDefault="0041605A" w:rsidP="0041605A">
      <w:pPr>
        <w:contextualSpacing/>
        <w:jc w:val="both"/>
        <w:rPr>
          <w:lang w:val="kk-KZ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95"/>
        <w:gridCol w:w="1134"/>
        <w:gridCol w:w="2835"/>
        <w:gridCol w:w="992"/>
        <w:gridCol w:w="1672"/>
      </w:tblGrid>
      <w:tr w:rsidR="0041605A" w:rsidRPr="00922AA8" w:rsidTr="005343FC">
        <w:tc>
          <w:tcPr>
            <w:tcW w:w="548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 xml:space="preserve">Р/с </w:t>
            </w:r>
            <w:r w:rsidRPr="008015AC">
              <w:rPr>
                <w:b/>
              </w:rPr>
              <w:t>№</w:t>
            </w:r>
            <w:r w:rsidRPr="008015AC">
              <w:rPr>
                <w:b/>
                <w:lang w:val="kk-KZ"/>
              </w:rPr>
              <w:t xml:space="preserve"> - №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п/п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Атауы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-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Название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Баспа немесе қолжазба құқында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-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Печатный или на правах рукописи</w:t>
            </w: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Баспа, журнал (атауы, №, жылы, беттері), авторлық куәліктің, патенттің №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-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Баспа табақтар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-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Количество печатных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листов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Қосалқы авторлардың аты-жөні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-</w:t>
            </w:r>
          </w:p>
          <w:p w:rsidR="0041605A" w:rsidRPr="008015AC" w:rsidRDefault="0041605A" w:rsidP="005343FC">
            <w:pPr>
              <w:contextualSpacing/>
              <w:jc w:val="both"/>
              <w:rPr>
                <w:b/>
                <w:lang w:val="kk-KZ"/>
              </w:rPr>
            </w:pPr>
            <w:r w:rsidRPr="008015AC">
              <w:rPr>
                <w:b/>
                <w:lang w:val="kk-KZ"/>
              </w:rPr>
              <w:t>Ф.И.О. соавторов</w:t>
            </w: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 шығармаларында ұлт мәселелерінің деректер арқылы сипатталуы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Азаттық идеясының қазақ әдебиетіндегі көрінісі: әдіснама, таным, көркемдік: − Астана, 2006. – Б. 421−425;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0.2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Нұршайықовтың дерек жинау тәсілдері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Елдік-рухани жаңғыру және «Мәдени мұра» бағдарламасы: ізденіс, тәжірибе, нәтиже: халықаралық ғылыми-практикалық конференция материалдары. – Астана, 2008. – Б. 185−193;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0.5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bCs/>
                <w:noProof/>
                <w:color w:val="000000"/>
                <w:spacing w:val="1"/>
                <w:lang w:val="kk-KZ"/>
              </w:rPr>
              <w:t>Әзілхан Нұршайықовтың деректерді пайдалану үлгісі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Алаш мұраты: тарихы мен тағылымы. – Астана, 2009. – Б. 173−179</w:t>
            </w:r>
            <w:r w:rsidRPr="008015AC">
              <w:rPr>
                <w:color w:val="333333"/>
                <w:lang w:val="kk-KZ"/>
              </w:rPr>
              <w:t>;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0.4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 − жаңа заман қаламгері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Л.Н.Гумилев атындағы ЕҰУ Хабаршысы, №3 (76), 2010 ж. – Б. 568−570;</w:t>
            </w:r>
          </w:p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 «Әзілхан Нұршайықовтың «Ил-18» әңгімесінің танымдық сипаты» Ақиқат, 2010. − №6. – Б. 58–60;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0.1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Нұршайықовтың афоризмдері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Қазақ тілі мен әдебиеті, 2010. − №6. – Б. 119−123;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0.2.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 туралы әріптестер лебіздері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bCs/>
                <w:noProof/>
                <w:color w:val="000000"/>
                <w:spacing w:val="1"/>
                <w:lang w:val="kk-KZ"/>
              </w:rPr>
            </w:pPr>
            <w:r w:rsidRPr="008015AC">
              <w:rPr>
                <w:color w:val="000000"/>
                <w:lang w:val="kk-KZ"/>
              </w:rPr>
              <w:t>Тіл және руханият: өзекті мәселелер. Рымғали Нұрғали мұрасы және қазіргі әдебиет пен тіл ғылымының көкейкесті мәселелері</w:t>
            </w:r>
            <w:r w:rsidRPr="008015AC">
              <w:rPr>
                <w:lang w:val="kk-KZ"/>
              </w:rPr>
              <w:t xml:space="preserve">. Астана, 2010. – Б. 473−477. 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0.2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 және қазақ журналистикасы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Мерзімді баспасөз эволюциясы: адамзаттық құндылықтар мен елдік мүдде мәселелері. Астана, 2011. – Б. 159-167. 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0.5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«Қазақ" газетіндегі эпистолярлық публицистиканың көрініс табуы»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Қазақ» газетінің 100 жылдығына арналған республикалық ғылыми-теориялық конференция. Астана, 2013. – Б. 130 – 139.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0.3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«Эпистолярлық публицистика тілінің ерекшеліктері»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«ҚР-ның білім беру саласындағы мемлекеттік тіл: қазіргі ахуалы және мәдениетаралық ықпалдастық мәселелері». Халықаралық ғылыми-тәжірибелік конференция.  Алматы, 2013. – Б. 191-193.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0.8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«Әзілхан Нұршайықовтың махаббат тақырыбын хаттар арқылы бейнелеуі»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Академик Зейнолла Қабдоловтың 85 жылдығына арналған халықаралық ғылыми-тәжірибелік конференция. Астана, 2013. – Б. 228-241. 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0.9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«Эпистолярлық мұраның Ә. Нұршайықов шығармаларындағы көрінісі»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«Махаббаттың жыршысы Әз-аға» халықаралық ғылыми-практикалық конференциясы. Алматы, 2013. – Б. 124-131.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0.6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Үшбу хатпен елі үшін еміреніп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"Алаш идеясы және Таңжарық Жолдыұлы мұрасы" халықаралық ғылыми-тәжірибелік конференциясы.Астана,2</w:t>
            </w:r>
            <w:r w:rsidRPr="008015AC">
              <w:rPr>
                <w:lang w:val="kk-KZ"/>
              </w:rPr>
              <w:lastRenderedPageBreak/>
              <w:t>013.-Б.99-102.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lastRenderedPageBreak/>
              <w:t>0.8.б.т.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« Әзілхан Нұршайықовтың «Өмір өрнектеріндегі» адам, қоғам, өмір туралы ой-толғаныстары»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«Әзілхан Нұршайықов және қазақстандық журналистиканың өзекті мәселелері» республикалық ғылыми конференциясы. Астана, 2013. – Б. 84-90. 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0.7.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Деректілік пен көркемдік.  Монография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Алматы, A r n a-b, 2012. – 192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17,5 б.т. 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Әйгілі Әзаға.  Оқу құралы 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Астана, Фолиант, 2012. – 545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34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en-US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Бүтін бітім.</w:t>
            </w:r>
          </w:p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Оқу құралы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Астана, Фолиант, 2012. – 548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34,3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Бауыржан Омарұлы, Амантай Шәріп</w:t>
            </w: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Бекзат болмыс. Оқу құралы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Астана, Жасыл орда, 2013. – 263 бет. 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17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Әзілхан Нұршайықов және қазақстандық журналистиканың өзекті мәселелері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Астана, Мастер ПО, 2013. – 232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15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Ақмола үшін айқас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</w:t>
            </w:r>
            <w:proofErr w:type="spellStart"/>
            <w:r w:rsidRPr="008015AC">
              <w:rPr>
                <w:lang w:val="en-US"/>
              </w:rPr>
              <w:t>лматы</w:t>
            </w:r>
            <w:proofErr w:type="spellEnd"/>
            <w:r w:rsidRPr="008015AC">
              <w:rPr>
                <w:lang w:val="kk-KZ"/>
              </w:rPr>
              <w:t>, Қазығұрт, 2013. – 286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15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 xml:space="preserve">Қазіргі журналистік білім берудің стандарттары 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Астана, Мастер ПО, 2014, -166 бет.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10,5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Эпистолярлық публицистиканың жанрлық сипаттары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"Қазіргі журналистік білім берудің стандарттары" атты республикалық ғылыми-тәжірибелік конференция, Астана,2014.-Б.89-96.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0.8. б.т.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8015AC">
              <w:rPr>
                <w:b w:val="0"/>
                <w:sz w:val="24"/>
                <w:szCs w:val="24"/>
              </w:rPr>
              <w:t>Интеграция эпистолярного жанра в публицистику</w:t>
            </w:r>
          </w:p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D13478">
              <w:t xml:space="preserve">ХУІ </w:t>
            </w:r>
            <w:proofErr w:type="spellStart"/>
            <w:r w:rsidRPr="00D13478">
              <w:t>Международн</w:t>
            </w:r>
            <w:proofErr w:type="spellEnd"/>
            <w:r w:rsidRPr="008015AC">
              <w:rPr>
                <w:lang w:val="kk-KZ"/>
              </w:rPr>
              <w:t>ая</w:t>
            </w:r>
            <w:r w:rsidRPr="00D13478">
              <w:t xml:space="preserve"> научно-</w:t>
            </w:r>
            <w:proofErr w:type="spellStart"/>
            <w:r w:rsidRPr="00D13478">
              <w:t>практическ</w:t>
            </w:r>
            <w:proofErr w:type="spellEnd"/>
            <w:r w:rsidRPr="008015AC">
              <w:rPr>
                <w:lang w:val="kk-KZ"/>
              </w:rPr>
              <w:t>ая</w:t>
            </w:r>
            <w:r w:rsidRPr="00D13478">
              <w:t xml:space="preserve"> </w:t>
            </w:r>
            <w:proofErr w:type="spellStart"/>
            <w:r w:rsidRPr="00D13478">
              <w:t>конференци</w:t>
            </w:r>
            <w:proofErr w:type="spellEnd"/>
            <w:r w:rsidRPr="008015AC">
              <w:rPr>
                <w:lang w:val="kk-KZ"/>
              </w:rPr>
              <w:t>я</w:t>
            </w:r>
            <w:r w:rsidRPr="00D13478">
              <w:t xml:space="preserve"> «Журналистика-2014»,</w:t>
            </w:r>
            <w:r w:rsidRPr="008015AC">
              <w:rPr>
                <w:lang w:val="kk-KZ"/>
              </w:rPr>
              <w:t xml:space="preserve"> </w:t>
            </w:r>
            <w:r w:rsidRPr="00D13478">
              <w:t>Минск,</w:t>
            </w:r>
            <w:r w:rsidRPr="008015AC">
              <w:rPr>
                <w:lang w:val="kk-KZ"/>
              </w:rPr>
              <w:t xml:space="preserve"> </w:t>
            </w:r>
            <w:r w:rsidRPr="00D13478">
              <w:t>2014.</w:t>
            </w:r>
            <w:r w:rsidRPr="008015AC">
              <w:rPr>
                <w:lang w:val="kk-KZ"/>
              </w:rPr>
              <w:t xml:space="preserve"> </w:t>
            </w:r>
            <w:r w:rsidRPr="00D13478">
              <w:t>-</w:t>
            </w:r>
            <w:r w:rsidRPr="008015AC">
              <w:rPr>
                <w:lang w:val="kk-KZ"/>
              </w:rPr>
              <w:t>С.</w:t>
            </w:r>
            <w:r w:rsidRPr="00D13478">
              <w:t>38</w:t>
            </w:r>
            <w:r w:rsidRPr="008015AC">
              <w:rPr>
                <w:lang w:val="kk-KZ"/>
              </w:rPr>
              <w:t>-</w:t>
            </w:r>
            <w:r w:rsidRPr="00D13478">
              <w:t>41</w:t>
            </w:r>
            <w:r w:rsidRPr="008015AC"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0.6. п.л.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  <w:r w:rsidRPr="008015AC">
              <w:rPr>
                <w:b w:val="0"/>
                <w:sz w:val="24"/>
                <w:szCs w:val="24"/>
                <w:lang w:val="kk-KZ"/>
              </w:rPr>
              <w:t>Эпистолярлық публицистиканың қазіргі кезеңдегі даму ерекшеліктері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"Қазақстан-2050 стратегиясы" аясында журналистік білім берудің бүгіні мен болашағы" атты халықаралық ғылыми-теориялық конференция, Астана, 2014. -С.148-151.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0.9.п.л.</w:t>
            </w: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D71474" w:rsidRDefault="0041605A" w:rsidP="005343FC">
            <w:pPr>
              <w:contextualSpacing/>
              <w:jc w:val="both"/>
            </w:pPr>
            <w:r w:rsidRPr="008015AC">
              <w:rPr>
                <w:lang w:val="kk-KZ"/>
              </w:rPr>
              <w:t>О</w:t>
            </w:r>
            <w:proofErr w:type="spellStart"/>
            <w:r w:rsidRPr="00D71474">
              <w:t>сновные</w:t>
            </w:r>
            <w:proofErr w:type="spellEnd"/>
            <w:r w:rsidRPr="00D71474">
              <w:t xml:space="preserve"> принципы </w:t>
            </w:r>
            <w:proofErr w:type="spellStart"/>
            <w:r w:rsidRPr="00D71474">
              <w:t>типологизации</w:t>
            </w:r>
            <w:proofErr w:type="spellEnd"/>
            <w:r w:rsidRPr="00D71474">
              <w:t xml:space="preserve"> эпистолярной</w:t>
            </w:r>
          </w:p>
          <w:p w:rsidR="0041605A" w:rsidRPr="00D71474" w:rsidRDefault="0041605A" w:rsidP="005343FC">
            <w:pPr>
              <w:contextualSpacing/>
              <w:jc w:val="both"/>
            </w:pPr>
            <w:proofErr w:type="gramStart"/>
            <w:r w:rsidRPr="00D71474">
              <w:lastRenderedPageBreak/>
              <w:t>публицистики</w:t>
            </w:r>
            <w:proofErr w:type="gramEnd"/>
            <w:r w:rsidRPr="00D71474">
              <w:t xml:space="preserve"> в современных печатных </w:t>
            </w:r>
            <w:proofErr w:type="spellStart"/>
            <w:r w:rsidRPr="00D71474">
              <w:t>сми</w:t>
            </w:r>
            <w:proofErr w:type="spellEnd"/>
          </w:p>
          <w:p w:rsidR="0041605A" w:rsidRPr="00D71474" w:rsidRDefault="0041605A" w:rsidP="005343FC">
            <w:pPr>
              <w:contextualSpacing/>
              <w:jc w:val="both"/>
            </w:pPr>
            <w:proofErr w:type="spellStart"/>
            <w:proofErr w:type="gramStart"/>
            <w:r w:rsidRPr="00D71474">
              <w:t>беларуси</w:t>
            </w:r>
            <w:proofErr w:type="spellEnd"/>
            <w:proofErr w:type="gramEnd"/>
            <w:r w:rsidRPr="00D71474">
              <w:t xml:space="preserve">, </w:t>
            </w:r>
            <w:proofErr w:type="spellStart"/>
            <w:r w:rsidRPr="00D71474">
              <w:t>россии</w:t>
            </w:r>
            <w:proofErr w:type="spellEnd"/>
            <w:r w:rsidRPr="00D71474">
              <w:t xml:space="preserve">, </w:t>
            </w:r>
            <w:proofErr w:type="spellStart"/>
            <w:r w:rsidRPr="00D71474">
              <w:t>казахстана</w:t>
            </w:r>
            <w:proofErr w:type="spellEnd"/>
          </w:p>
          <w:p w:rsidR="0041605A" w:rsidRPr="008015AC" w:rsidRDefault="0041605A" w:rsidP="005343FC">
            <w:pPr>
              <w:pStyle w:val="1"/>
              <w:spacing w:before="0" w:after="0" w:line="240" w:lineRule="auto"/>
              <w:contextualSpacing/>
              <w:jc w:val="both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lang w:val="kk-KZ"/>
              </w:rPr>
            </w:pPr>
            <w:r w:rsidRPr="008015AC">
              <w:rPr>
                <w:lang w:val="kk-KZ"/>
              </w:rPr>
              <w:t>Ве</w:t>
            </w:r>
            <w:r>
              <w:rPr>
                <w:lang w:val="kk-KZ"/>
              </w:rPr>
              <w:t>с</w:t>
            </w:r>
            <w:r w:rsidRPr="008015AC">
              <w:rPr>
                <w:lang w:val="kk-KZ"/>
              </w:rPr>
              <w:t>нік БДУ.Серия 4. 2014.№ 3. -С58-60.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D13478" w:rsidRDefault="0041605A" w:rsidP="005343FC">
            <w:pPr>
              <w:contextualSpacing/>
              <w:jc w:val="both"/>
            </w:pPr>
            <w:r w:rsidRPr="008015AC">
              <w:rPr>
                <w:color w:val="000000"/>
                <w:shd w:val="clear" w:color="auto" w:fill="FFFFFF"/>
              </w:rPr>
              <w:t xml:space="preserve">Анализ и </w:t>
            </w:r>
            <w:proofErr w:type="spellStart"/>
            <w:r w:rsidRPr="008015AC">
              <w:rPr>
                <w:color w:val="000000"/>
                <w:shd w:val="clear" w:color="auto" w:fill="FFFFFF"/>
              </w:rPr>
              <w:t>типологизация</w:t>
            </w:r>
            <w:proofErr w:type="spellEnd"/>
            <w:r w:rsidRPr="008015AC">
              <w:rPr>
                <w:color w:val="000000"/>
                <w:shd w:val="clear" w:color="auto" w:fill="FFFFFF"/>
              </w:rPr>
              <w:t xml:space="preserve"> эпистолярной публицистики в печатных СМИ Беларуси</w:t>
            </w: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D13478" w:rsidRDefault="0041605A" w:rsidP="005343FC">
            <w:pPr>
              <w:pStyle w:val="a3"/>
              <w:ind w:left="0"/>
              <w:jc w:val="both"/>
            </w:pPr>
            <w:r w:rsidRPr="008015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15AC">
              <w:rPr>
                <w:color w:val="000000"/>
                <w:shd w:val="clear" w:color="auto" w:fill="FFFFFF"/>
              </w:rPr>
              <w:t xml:space="preserve">IV </w:t>
            </w:r>
            <w:proofErr w:type="spellStart"/>
            <w:r w:rsidRPr="008015AC">
              <w:rPr>
                <w:color w:val="000000"/>
                <w:shd w:val="clear" w:color="auto" w:fill="FFFFFF"/>
              </w:rPr>
              <w:t>Междунар</w:t>
            </w:r>
            <w:proofErr w:type="spellEnd"/>
            <w:r w:rsidRPr="008015AC">
              <w:rPr>
                <w:color w:val="000000"/>
                <w:shd w:val="clear" w:color="auto" w:fill="FFFFFF"/>
              </w:rPr>
              <w:t>. науч.-</w:t>
            </w:r>
            <w:proofErr w:type="spellStart"/>
            <w:r w:rsidRPr="008015AC">
              <w:rPr>
                <w:color w:val="000000"/>
                <w:shd w:val="clear" w:color="auto" w:fill="FFFFFF"/>
              </w:rPr>
              <w:t>практ</w:t>
            </w:r>
            <w:proofErr w:type="spellEnd"/>
            <w:r w:rsidRPr="008015AC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8015AC">
              <w:rPr>
                <w:color w:val="000000"/>
                <w:shd w:val="clear" w:color="auto" w:fill="FFFFFF"/>
              </w:rPr>
              <w:t>конф</w:t>
            </w:r>
            <w:proofErr w:type="spellEnd"/>
            <w:r w:rsidRPr="008015AC">
              <w:rPr>
                <w:color w:val="000000"/>
                <w:shd w:val="clear" w:color="auto" w:fill="FFFFFF"/>
              </w:rPr>
              <w:t>.,</w:t>
            </w:r>
            <w:proofErr w:type="gramEnd"/>
            <w:r w:rsidRPr="008015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15AC">
              <w:rPr>
                <w:color w:val="000000"/>
                <w:shd w:val="clear" w:color="auto" w:fill="FFFFFF"/>
              </w:rPr>
              <w:t>"Международная журналистика – 2015: формирование информационного пространства партнерства от Владивостока до Лиссабона и медиа,</w:t>
            </w:r>
            <w:r w:rsidRPr="008015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015AC">
              <w:rPr>
                <w:color w:val="000000"/>
                <w:shd w:val="clear" w:color="auto" w:fill="FFFFFF"/>
              </w:rPr>
              <w:t>– Минск : Изд. центр БГУ , 2015. – С. 258-261.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  <w:tr w:rsidR="0041605A" w:rsidRPr="008015AC" w:rsidTr="005343FC">
        <w:tc>
          <w:tcPr>
            <w:tcW w:w="548" w:type="dxa"/>
          </w:tcPr>
          <w:p w:rsidR="0041605A" w:rsidRPr="008015AC" w:rsidRDefault="0041605A" w:rsidP="0041605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</w:p>
        </w:tc>
        <w:tc>
          <w:tcPr>
            <w:tcW w:w="2395" w:type="dxa"/>
          </w:tcPr>
          <w:p w:rsidR="0041605A" w:rsidRPr="008015AC" w:rsidRDefault="0041605A" w:rsidP="005343FC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015AC">
              <w:rPr>
                <w:color w:val="000000"/>
                <w:shd w:val="clear" w:color="auto" w:fill="FFFFFF"/>
              </w:rPr>
              <w:t>Особенности эпистолярной публицистики в условиях новых информационных технологий</w:t>
            </w:r>
          </w:p>
          <w:p w:rsidR="0041605A" w:rsidRPr="008015AC" w:rsidRDefault="0041605A" w:rsidP="005343FC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41605A" w:rsidRPr="008015AC" w:rsidRDefault="0041605A" w:rsidP="005343FC">
            <w:pPr>
              <w:pStyle w:val="a3"/>
              <w:ind w:left="0"/>
              <w:jc w:val="both"/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EE3BF3">
              <w:rPr>
                <w:color w:val="000000"/>
                <w:shd w:val="clear" w:color="auto" w:fill="FFFFFF"/>
                <w:lang w:val="kk-KZ"/>
              </w:rPr>
              <w:t>Междунар</w:t>
            </w:r>
            <w:r>
              <w:rPr>
                <w:color w:val="000000"/>
                <w:shd w:val="clear" w:color="auto" w:fill="FFFFFF"/>
                <w:lang w:val="kk-KZ"/>
              </w:rPr>
              <w:t>одная</w:t>
            </w:r>
            <w:r w:rsidRPr="00EE3BF3">
              <w:rPr>
                <w:color w:val="000000"/>
                <w:shd w:val="clear" w:color="auto" w:fill="FFFFFF"/>
                <w:lang w:val="kk-KZ"/>
              </w:rPr>
              <w:t xml:space="preserve"> науч</w:t>
            </w:r>
            <w:r>
              <w:rPr>
                <w:color w:val="000000"/>
                <w:shd w:val="clear" w:color="auto" w:fill="FFFFFF"/>
                <w:lang w:val="kk-KZ"/>
              </w:rPr>
              <w:t>но</w:t>
            </w:r>
            <w:r w:rsidRPr="00EE3BF3">
              <w:rPr>
                <w:color w:val="000000"/>
                <w:shd w:val="clear" w:color="auto" w:fill="FFFFFF"/>
                <w:lang w:val="kk-KZ"/>
              </w:rPr>
              <w:t>-практ</w:t>
            </w:r>
            <w:r>
              <w:rPr>
                <w:color w:val="000000"/>
                <w:shd w:val="clear" w:color="auto" w:fill="FFFFFF"/>
                <w:lang w:val="kk-KZ"/>
              </w:rPr>
              <w:t>ическая конференция,-Минск,2015. С.125-129.</w:t>
            </w:r>
          </w:p>
        </w:tc>
        <w:tc>
          <w:tcPr>
            <w:tcW w:w="99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672" w:type="dxa"/>
          </w:tcPr>
          <w:p w:rsidR="0041605A" w:rsidRPr="008015AC" w:rsidRDefault="0041605A" w:rsidP="005343FC">
            <w:pPr>
              <w:contextualSpacing/>
              <w:jc w:val="both"/>
              <w:rPr>
                <w:lang w:val="kk-KZ"/>
              </w:rPr>
            </w:pPr>
          </w:p>
        </w:tc>
      </w:tr>
    </w:tbl>
    <w:p w:rsidR="0041605A" w:rsidRDefault="0041605A" w:rsidP="0041605A">
      <w:pPr>
        <w:ind w:firstLine="708"/>
        <w:contextualSpacing/>
        <w:jc w:val="both"/>
        <w:rPr>
          <w:lang w:val="kk-KZ"/>
        </w:rPr>
      </w:pPr>
    </w:p>
    <w:p w:rsidR="0041605A" w:rsidRPr="00D13478" w:rsidRDefault="0041605A" w:rsidP="0041605A">
      <w:pPr>
        <w:ind w:firstLine="708"/>
        <w:contextualSpacing/>
        <w:jc w:val="both"/>
        <w:rPr>
          <w:lang w:val="kk-KZ"/>
        </w:rPr>
      </w:pPr>
    </w:p>
    <w:p w:rsidR="0041605A" w:rsidRPr="0041605A" w:rsidRDefault="0041605A">
      <w:pPr>
        <w:rPr>
          <w:lang w:val="kk-KZ"/>
        </w:rPr>
      </w:pPr>
    </w:p>
    <w:sectPr w:rsidR="0041605A" w:rsidRPr="0041605A" w:rsidSect="0079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D61"/>
    <w:multiLevelType w:val="hybridMultilevel"/>
    <w:tmpl w:val="600C2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A"/>
    <w:rsid w:val="0041605A"/>
    <w:rsid w:val="00796752"/>
    <w:rsid w:val="00922AA8"/>
    <w:rsid w:val="00F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DDAC-CD2E-43DF-9ED5-1DF288D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05A"/>
    <w:pPr>
      <w:keepNext/>
      <w:keepLines/>
      <w:spacing w:before="120" w:after="120" w:line="360" w:lineRule="auto"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5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1605A"/>
    <w:pPr>
      <w:ind w:left="720"/>
      <w:contextualSpacing/>
    </w:pPr>
  </w:style>
  <w:style w:type="character" w:customStyle="1" w:styleId="apple-converted-space">
    <w:name w:val="apple-converted-space"/>
    <w:basedOn w:val="a0"/>
    <w:rsid w:val="0041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Асия</cp:lastModifiedBy>
  <cp:revision>2</cp:revision>
  <dcterms:created xsi:type="dcterms:W3CDTF">2015-02-23T02:37:00Z</dcterms:created>
  <dcterms:modified xsi:type="dcterms:W3CDTF">2015-02-23T02:37:00Z</dcterms:modified>
</cp:coreProperties>
</file>